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11A7D" w14:textId="796427F6" w:rsidR="00817BA6" w:rsidRPr="00F30C23" w:rsidRDefault="00D03B8D" w:rsidP="002F2FF8">
      <w:pPr>
        <w:jc w:val="center"/>
        <w:rPr>
          <w:b/>
          <w:bCs/>
          <w:sz w:val="28"/>
          <w:szCs w:val="28"/>
        </w:rPr>
      </w:pPr>
      <w:r w:rsidRPr="00F30C23">
        <w:rPr>
          <w:b/>
          <w:bCs/>
          <w:sz w:val="28"/>
          <w:szCs w:val="28"/>
        </w:rPr>
        <w:t>Doplňující informace k pojištění profesní odpovědnosti Univerzity Karlovy</w:t>
      </w:r>
      <w:r w:rsidR="00B4286E">
        <w:rPr>
          <w:b/>
          <w:bCs/>
          <w:sz w:val="28"/>
          <w:szCs w:val="28"/>
        </w:rPr>
        <w:t xml:space="preserve"> – obchodní podmínky 02A a 02B</w:t>
      </w:r>
      <w:r w:rsidRPr="00F30C23">
        <w:rPr>
          <w:b/>
          <w:bCs/>
          <w:sz w:val="28"/>
          <w:szCs w:val="28"/>
        </w:rPr>
        <w:t>:</w:t>
      </w:r>
      <w:r w:rsidR="00CB1432">
        <w:rPr>
          <w:b/>
          <w:bCs/>
          <w:sz w:val="28"/>
          <w:szCs w:val="28"/>
        </w:rPr>
        <w:br/>
      </w:r>
    </w:p>
    <w:p w14:paraId="1FDECB3E" w14:textId="77777777" w:rsidR="002F2FF8" w:rsidRDefault="00F30C23" w:rsidP="002F2FF8">
      <w:r w:rsidRPr="00F30C23">
        <w:rPr>
          <w:b/>
          <w:bCs/>
          <w:caps/>
          <w:u w:val="single"/>
        </w:rPr>
        <w:t>Fakulta tělesné výchovy a sportu:</w:t>
      </w:r>
      <w:r>
        <w:br/>
      </w:r>
      <w:r w:rsidRPr="00F30C23">
        <w:rPr>
          <w:u w:val="single"/>
        </w:rPr>
        <w:t>Činnost</w:t>
      </w:r>
      <w:r w:rsidR="002F2FF8">
        <w:rPr>
          <w:u w:val="single"/>
        </w:rPr>
        <w:t>i</w:t>
      </w:r>
      <w:r>
        <w:t xml:space="preserve">: </w:t>
      </w:r>
    </w:p>
    <w:p w14:paraId="7E787E74" w14:textId="77777777" w:rsidR="002F2FF8" w:rsidRDefault="00F30C23" w:rsidP="002F2FF8">
      <w:pPr>
        <w:pStyle w:val="Odstavecseseznamem"/>
        <w:numPr>
          <w:ilvl w:val="0"/>
          <w:numId w:val="5"/>
        </w:numPr>
      </w:pPr>
      <w:r>
        <w:t>Fyzioterapeutická ambulance</w:t>
      </w:r>
    </w:p>
    <w:p w14:paraId="1D989DA6" w14:textId="77777777" w:rsidR="002F2FF8" w:rsidRDefault="002F2FF8" w:rsidP="002F2FF8">
      <w:pPr>
        <w:rPr>
          <w:u w:val="single"/>
        </w:rPr>
      </w:pPr>
      <w:r w:rsidRPr="002F2FF8">
        <w:rPr>
          <w:u w:val="single"/>
        </w:rPr>
        <w:t>Doplňující informace:</w:t>
      </w:r>
    </w:p>
    <w:p w14:paraId="1A963E4D" w14:textId="7EB20CAE" w:rsidR="004C2356" w:rsidRPr="004C2356" w:rsidRDefault="00F30C23" w:rsidP="004C2356">
      <w:r>
        <w:t>- činnost vykonávána dle indikace lékaře – poukaz FT06, celkem 6 fyzioterapeutů</w:t>
      </w:r>
      <w:r>
        <w:br/>
        <w:t>- pouze na území České republiky</w:t>
      </w:r>
      <w:r>
        <w:br/>
        <w:t>- za rok obslouží cca. 200 – 250 klientů</w:t>
      </w:r>
      <w:r>
        <w:br/>
        <w:t>- krev neodebírají, nemají zdravotnická ani ambulantní lůžka, klinických studií se neúčastní</w:t>
      </w:r>
      <w:r>
        <w:br/>
        <w:t>- vlastní magnetickou rezonanci pro fyzioterapeuty a přístroj DEXA</w:t>
      </w:r>
      <w:r>
        <w:br/>
        <w:t>- kromě fyzioterapeutické ambulance je registrováno i tělovýchovné lékařství, to ovšem nic nevykazuje.</w:t>
      </w:r>
      <w:r>
        <w:br/>
      </w:r>
      <w:r w:rsidR="004C2356" w:rsidRPr="004C2356">
        <w:t>Roční obrat z této činnosti: Fakulta tělesné výchovy a sportu 628 000,- Kč</w:t>
      </w:r>
    </w:p>
    <w:p w14:paraId="4BDCCDFE" w14:textId="10E0C553" w:rsidR="00CB1432" w:rsidRDefault="00CB1432" w:rsidP="002F2FF8"/>
    <w:p w14:paraId="4B03E486" w14:textId="77777777" w:rsidR="002F2FF8" w:rsidRPr="002F2FF8" w:rsidRDefault="005608FF" w:rsidP="002F2FF8">
      <w:pPr>
        <w:jc w:val="both"/>
        <w:rPr>
          <w:b/>
          <w:bCs/>
          <w:caps/>
          <w:u w:val="single"/>
        </w:rPr>
      </w:pPr>
      <w:r w:rsidRPr="002F2FF8">
        <w:rPr>
          <w:b/>
          <w:bCs/>
          <w:caps/>
          <w:u w:val="single"/>
        </w:rPr>
        <w:t>Lékařská fakulta v Plzni:</w:t>
      </w:r>
    </w:p>
    <w:p w14:paraId="13524E85" w14:textId="77777777" w:rsidR="002F2FF8" w:rsidRDefault="005608FF" w:rsidP="002F2FF8">
      <w:pPr>
        <w:jc w:val="both"/>
      </w:pPr>
      <w:r w:rsidRPr="005608FF">
        <w:rPr>
          <w:u w:val="single"/>
        </w:rPr>
        <w:t>Činnosti</w:t>
      </w:r>
      <w:r>
        <w:t xml:space="preserve">: </w:t>
      </w:r>
    </w:p>
    <w:p w14:paraId="0008C650" w14:textId="0EFF8ABF" w:rsidR="002F2FF8" w:rsidRDefault="005608FF" w:rsidP="002F2FF8">
      <w:pPr>
        <w:pStyle w:val="Odstavecseseznamem"/>
        <w:numPr>
          <w:ilvl w:val="0"/>
          <w:numId w:val="4"/>
        </w:numPr>
        <w:jc w:val="both"/>
      </w:pPr>
      <w:r>
        <w:t>Lékařské prohlídky pro účely zjištění zdravotní způsobilosti k výkonnostnímu, organizovanému i neorganizovanému sportu, dále též způsobilosti k předmětu tělesná výchova či k fyzické zátěži s ohledem na fyzicky náročné povolání (pokud to vyžaduje zaměstnavatel). Prohlídka může být buď vstupní (před registrací do sportovní organizace či do organizovaných sportovních soutěží), anebo může být pravidelná či mimořádná (při změně zdravotního stavu osoby či zdravotních obtížích při sportu). Může se jednat i o prohlídku jednorázovou před sportovní soutěží nebo sportovní akcí, kdy je prohlídka podmínkou účasti na akci.</w:t>
      </w:r>
    </w:p>
    <w:p w14:paraId="3E34EEBE" w14:textId="77777777" w:rsidR="002F2FF8" w:rsidRDefault="005608FF" w:rsidP="002F2FF8">
      <w:pPr>
        <w:pStyle w:val="Odstavecseseznamem"/>
        <w:numPr>
          <w:ilvl w:val="0"/>
          <w:numId w:val="4"/>
        </w:numPr>
        <w:jc w:val="both"/>
      </w:pPr>
      <w:r>
        <w:t>Zátěžové testy sportovců, jejichž cílem je posouzení úrovně jejich fyzické zdatnosti. Dle výsledky je dále doporučovaná další tréninková strategie.</w:t>
      </w:r>
    </w:p>
    <w:p w14:paraId="610875E0" w14:textId="77777777" w:rsidR="002F2FF8" w:rsidRDefault="005608FF" w:rsidP="002F2FF8">
      <w:pPr>
        <w:pStyle w:val="Odstavecseseznamem"/>
        <w:numPr>
          <w:ilvl w:val="0"/>
          <w:numId w:val="4"/>
        </w:numPr>
        <w:jc w:val="both"/>
      </w:pPr>
      <w:r>
        <w:t>Konzultace s cílem posoudit a upravit jídelníček sportovců s ohledem na specifické nároky jejich konkrétní sportovní disciplíny.</w:t>
      </w:r>
    </w:p>
    <w:p w14:paraId="6CD87E70" w14:textId="77777777" w:rsidR="002F2FF8" w:rsidRDefault="005608FF" w:rsidP="002F2FF8">
      <w:pPr>
        <w:pStyle w:val="Odstavecseseznamem"/>
        <w:numPr>
          <w:ilvl w:val="0"/>
          <w:numId w:val="4"/>
        </w:numPr>
        <w:jc w:val="both"/>
      </w:pPr>
      <w:r>
        <w:t>Preventivní prohlídky zaměřené na detekci kardiovaskulárních rizik a hodnocení nutričního stavu.</w:t>
      </w:r>
    </w:p>
    <w:p w14:paraId="130EC1B4" w14:textId="77777777" w:rsidR="002F2FF8" w:rsidRDefault="005608FF" w:rsidP="002F2FF8">
      <w:pPr>
        <w:pStyle w:val="Odstavecseseznamem"/>
        <w:numPr>
          <w:ilvl w:val="0"/>
          <w:numId w:val="4"/>
        </w:numPr>
        <w:jc w:val="both"/>
      </w:pPr>
      <w:r>
        <w:t>Konzultační činnost zaměřená na léčbu nadváhy.</w:t>
      </w:r>
    </w:p>
    <w:p w14:paraId="44932C49" w14:textId="77777777" w:rsidR="002F2FF8" w:rsidRDefault="005608FF" w:rsidP="002F2FF8">
      <w:pPr>
        <w:pStyle w:val="Odstavecseseznamem"/>
        <w:numPr>
          <w:ilvl w:val="0"/>
          <w:numId w:val="4"/>
        </w:numPr>
        <w:jc w:val="both"/>
      </w:pPr>
      <w:r>
        <w:t>Konzultační činnost zaměřená na poruchy postury.</w:t>
      </w:r>
    </w:p>
    <w:p w14:paraId="3F3A9BF8" w14:textId="3FDC6E4D" w:rsidR="002F2FF8" w:rsidRDefault="005608FF" w:rsidP="002F2FF8">
      <w:pPr>
        <w:pStyle w:val="Odstavecseseznamem"/>
        <w:numPr>
          <w:ilvl w:val="0"/>
          <w:numId w:val="4"/>
        </w:numPr>
        <w:jc w:val="both"/>
      </w:pPr>
      <w:r>
        <w:t>Testování Covid 19 pozitivity antigenními testy (dle aktuálních podmínek nařízených vládou).</w:t>
      </w:r>
    </w:p>
    <w:p w14:paraId="02B659EC" w14:textId="0B6BBCE7" w:rsidR="002F2FF8" w:rsidRPr="002F2FF8" w:rsidRDefault="002F2FF8" w:rsidP="002F2FF8">
      <w:pPr>
        <w:rPr>
          <w:u w:val="single"/>
        </w:rPr>
      </w:pPr>
      <w:r w:rsidRPr="002F2FF8">
        <w:rPr>
          <w:u w:val="single"/>
        </w:rPr>
        <w:t>Doplňující informace:</w:t>
      </w:r>
    </w:p>
    <w:p w14:paraId="5BACDCC7" w14:textId="77777777" w:rsidR="002F2FF8" w:rsidRDefault="005608FF" w:rsidP="002F2FF8">
      <w:pPr>
        <w:jc w:val="both"/>
      </w:pPr>
      <w:r>
        <w:t>- činnost vykonávána pro profesionální sportovce, amatérsky organizované sportovce, amatérsky neorganizované sportovce, studenty sportovních gymnázií a vysokých škol se zaměřením na studium a výuku sportu, zaměstnance v zaměstnáních ve kterých vykonávají fyzicky náročnou činnost a vyšetření vyžaduje jejich zaměstnavatel, laickou veřejnost s preferencí seniorů.</w:t>
      </w:r>
    </w:p>
    <w:p w14:paraId="0F3E9F7F" w14:textId="193F80BC" w:rsidR="002F2FF8" w:rsidRDefault="00137099" w:rsidP="002F2FF8">
      <w:pPr>
        <w:jc w:val="both"/>
      </w:pPr>
      <w:r>
        <w:t>- činnost vykonává 7-8 lékařů, 3-4 sestry, 1 fyzioterapeut (DPČ), 2 nezdravotničtí pracovníci</w:t>
      </w:r>
    </w:p>
    <w:p w14:paraId="0104D00E" w14:textId="77777777" w:rsidR="002F2FF8" w:rsidRDefault="00137099" w:rsidP="002F2FF8">
      <w:pPr>
        <w:jc w:val="both"/>
      </w:pPr>
      <w:r>
        <w:lastRenderedPageBreak/>
        <w:t>- pouze na území České republiky</w:t>
      </w:r>
    </w:p>
    <w:p w14:paraId="2EE70A49" w14:textId="77777777" w:rsidR="002F2FF8" w:rsidRDefault="00137099" w:rsidP="002F2FF8">
      <w:pPr>
        <w:jc w:val="both"/>
      </w:pPr>
      <w:r>
        <w:t>- za rok obslouží cca. 1 000 – 1 600 klientů (za normálních nepandemických okolností), vyšetření antigenními testy za rok 2020 cca. 10</w:t>
      </w:r>
      <w:r w:rsidR="002F2FF8">
        <w:t> </w:t>
      </w:r>
      <w:r>
        <w:t>000.</w:t>
      </w:r>
    </w:p>
    <w:p w14:paraId="1F29C9D1" w14:textId="77777777" w:rsidR="002F2FF8" w:rsidRDefault="00137099" w:rsidP="002F2FF8">
      <w:pPr>
        <w:jc w:val="both"/>
      </w:pPr>
      <w:r>
        <w:t>- odebírají krev, či jiné tkáně</w:t>
      </w:r>
    </w:p>
    <w:p w14:paraId="19B04AB0" w14:textId="77777777" w:rsidR="002F2FF8" w:rsidRDefault="00137099" w:rsidP="002F2FF8">
      <w:pPr>
        <w:jc w:val="both"/>
      </w:pPr>
      <w:r>
        <w:t>- účastní se klinických studií – dosud pouze nutriční intervence a základní výzku</w:t>
      </w:r>
      <w:r w:rsidR="002F2FF8">
        <w:t>m</w:t>
      </w:r>
    </w:p>
    <w:p w14:paraId="2BB5542C" w14:textId="34CE5221" w:rsidR="002F2FF8" w:rsidRDefault="002F2FF8" w:rsidP="002F2FF8">
      <w:pPr>
        <w:jc w:val="both"/>
      </w:pPr>
      <w:r>
        <w:t xml:space="preserve">- </w:t>
      </w:r>
      <w:r w:rsidR="00137099">
        <w:t>nemají žádná ambulantní či zdravotnická lůžka</w:t>
      </w:r>
      <w:r>
        <w:t xml:space="preserve"> </w:t>
      </w:r>
      <w:r w:rsidR="00137099">
        <w:t>nevlastní žádné zařízení se zdrojem radioaktivity, aj.</w:t>
      </w:r>
    </w:p>
    <w:p w14:paraId="6A3195FA" w14:textId="0DB3EEDF" w:rsidR="004C2356" w:rsidRPr="004C2356" w:rsidRDefault="004C2356" w:rsidP="004C2356">
      <w:r w:rsidRPr="004C2356">
        <w:t xml:space="preserve">Roční obrat z této činnosti: Lékařská fakulta v Plzni 750 000,- </w:t>
      </w:r>
      <w:r w:rsidR="00A85C87">
        <w:t xml:space="preserve">Kč </w:t>
      </w:r>
      <w:r w:rsidRPr="004C2356">
        <w:t>až 1 000 000,- Kč</w:t>
      </w:r>
      <w:r w:rsidRPr="004C2356">
        <w:br/>
      </w:r>
    </w:p>
    <w:sectPr w:rsidR="004C2356" w:rsidRPr="004C23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41D87"/>
    <w:multiLevelType w:val="hybridMultilevel"/>
    <w:tmpl w:val="DA6AA4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F910C98"/>
    <w:multiLevelType w:val="hybridMultilevel"/>
    <w:tmpl w:val="C164C710"/>
    <w:lvl w:ilvl="0" w:tplc="720E266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38D29C1"/>
    <w:multiLevelType w:val="hybridMultilevel"/>
    <w:tmpl w:val="1734A7A6"/>
    <w:lvl w:ilvl="0" w:tplc="DADA94E2">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 w15:restartNumberingAfterBreak="0">
    <w:nsid w:val="7C79035A"/>
    <w:multiLevelType w:val="hybridMultilevel"/>
    <w:tmpl w:val="814CE7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B8D"/>
    <w:rsid w:val="000C0685"/>
    <w:rsid w:val="00137099"/>
    <w:rsid w:val="002F2FF8"/>
    <w:rsid w:val="004C2356"/>
    <w:rsid w:val="005608FF"/>
    <w:rsid w:val="00817BA6"/>
    <w:rsid w:val="00911F46"/>
    <w:rsid w:val="00A85C87"/>
    <w:rsid w:val="00B4286E"/>
    <w:rsid w:val="00CB1432"/>
    <w:rsid w:val="00D03B8D"/>
    <w:rsid w:val="00EA5F8D"/>
    <w:rsid w:val="00F30C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33A72"/>
  <w15:chartTrackingRefBased/>
  <w15:docId w15:val="{CF725833-5317-42EE-A747-31E40EB8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03B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647187">
      <w:bodyDiv w:val="1"/>
      <w:marLeft w:val="0"/>
      <w:marRight w:val="0"/>
      <w:marTop w:val="0"/>
      <w:marBottom w:val="0"/>
      <w:divBdr>
        <w:top w:val="none" w:sz="0" w:space="0" w:color="auto"/>
        <w:left w:val="none" w:sz="0" w:space="0" w:color="auto"/>
        <w:bottom w:val="none" w:sz="0" w:space="0" w:color="auto"/>
        <w:right w:val="none" w:sz="0" w:space="0" w:color="auto"/>
      </w:divBdr>
    </w:div>
    <w:div w:id="150655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415</Words>
  <Characters>2452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Štafl</dc:creator>
  <cp:keywords/>
  <dc:description/>
  <cp:lastModifiedBy>Zdeněk Přibyl</cp:lastModifiedBy>
  <cp:revision>5</cp:revision>
  <dcterms:created xsi:type="dcterms:W3CDTF">2021-08-12T11:25:00Z</dcterms:created>
  <dcterms:modified xsi:type="dcterms:W3CDTF">2021-08-26T13:26:00Z</dcterms:modified>
</cp:coreProperties>
</file>